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F2CD1" w14:textId="77777777" w:rsidR="00826BD6" w:rsidRPr="00826BD6" w:rsidRDefault="00826BD6" w:rsidP="00826BD6">
      <w:pPr>
        <w:jc w:val="both"/>
        <w:rPr>
          <w:rFonts w:ascii="Arial" w:hAnsi="Arial" w:cs="Arial"/>
          <w:b/>
          <w:bCs/>
          <w:sz w:val="22"/>
          <w:szCs w:val="22"/>
        </w:rPr>
      </w:pPr>
      <w:r w:rsidRPr="00826BD6">
        <w:rPr>
          <w:rFonts w:ascii="Arial" w:hAnsi="Arial" w:cs="Arial"/>
          <w:b/>
          <w:bCs/>
          <w:sz w:val="22"/>
          <w:szCs w:val="22"/>
        </w:rPr>
        <w:t>1. Purpose</w:t>
      </w:r>
    </w:p>
    <w:p w14:paraId="3F073AA6" w14:textId="77777777" w:rsidR="00826BD6" w:rsidRPr="00826BD6" w:rsidRDefault="00826BD6" w:rsidP="00F6205B">
      <w:pPr>
        <w:jc w:val="both"/>
        <w:rPr>
          <w:rFonts w:ascii="Arial" w:hAnsi="Arial" w:cs="Arial"/>
          <w:sz w:val="22"/>
          <w:szCs w:val="22"/>
        </w:rPr>
      </w:pPr>
      <w:r w:rsidRPr="00826BD6">
        <w:rPr>
          <w:rFonts w:ascii="Arial" w:hAnsi="Arial" w:cs="Arial"/>
          <w:sz w:val="22"/>
          <w:szCs w:val="22"/>
        </w:rPr>
        <w:t>1.1 The Professional Standards Committee (PSC) is a Standing Committee of the IWFM Board, established to provide strategic and independent oversight of the professional standards, competence and assessment frameworks that underpin IWFM’s role as a professional body.</w:t>
      </w:r>
    </w:p>
    <w:p w14:paraId="1361BB4A"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1.2 The Committee supports the Board in ensuring that IWFM maintains integrity, rigour and consistency in the development, assessment and maintenance of professional competence across the workplace and facilities management profession.</w:t>
      </w:r>
    </w:p>
    <w:p w14:paraId="275AB637" w14:textId="1C2EB475" w:rsidR="00826BD6" w:rsidRPr="00826BD6" w:rsidRDefault="00826BD6" w:rsidP="00826BD6">
      <w:pPr>
        <w:jc w:val="both"/>
        <w:rPr>
          <w:rFonts w:ascii="Arial" w:hAnsi="Arial" w:cs="Arial"/>
          <w:sz w:val="22"/>
          <w:szCs w:val="22"/>
        </w:rPr>
      </w:pPr>
      <w:r w:rsidRPr="00826BD6">
        <w:rPr>
          <w:rFonts w:ascii="Arial" w:hAnsi="Arial" w:cs="Arial"/>
          <w:sz w:val="22"/>
          <w:szCs w:val="22"/>
        </w:rPr>
        <w:t xml:space="preserve">1.3 In particular, the Committee provides oversight of IWFM’s Professional Standards, membership grades and assessment arrangements, continuing professional development (CPD), higher education accreditation and associated member guidance and support. </w:t>
      </w:r>
    </w:p>
    <w:p w14:paraId="5E0D1586"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1.4 The Committee provides strategic oversight and assurance. Responsibility for the operational delivery and administration of membership, assessment, accreditation, CPD and related services remains with the Executive.</w:t>
      </w:r>
    </w:p>
    <w:p w14:paraId="36FFA2B4"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 xml:space="preserve">1.5 Matters relating to professional ethics, the Code of Professional Conduct, member discipline and individual conduct cases remain within the remit of the Constitution &amp; Ethics Committee, consistent with the governance separation agreed when the PSC was established. </w:t>
      </w:r>
    </w:p>
    <w:p w14:paraId="081191E2" w14:textId="77777777" w:rsidR="00826BD6" w:rsidRPr="00826BD6" w:rsidRDefault="00826BD6" w:rsidP="00826BD6">
      <w:pPr>
        <w:jc w:val="both"/>
        <w:rPr>
          <w:rFonts w:ascii="Arial" w:hAnsi="Arial" w:cs="Arial"/>
          <w:b/>
          <w:bCs/>
          <w:sz w:val="22"/>
          <w:szCs w:val="22"/>
        </w:rPr>
      </w:pPr>
      <w:r w:rsidRPr="00826BD6">
        <w:rPr>
          <w:rFonts w:ascii="Arial" w:hAnsi="Arial" w:cs="Arial"/>
          <w:b/>
          <w:bCs/>
          <w:sz w:val="22"/>
          <w:szCs w:val="22"/>
        </w:rPr>
        <w:t>2. General Regulations</w:t>
      </w:r>
    </w:p>
    <w:p w14:paraId="25165150"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2.1 The Committee shall normally meet at least three times each year, with additional meetings convened where required.</w:t>
      </w:r>
    </w:p>
    <w:p w14:paraId="643A251B"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2.2 The quorum shall be three Committee members.</w:t>
      </w:r>
    </w:p>
    <w:p w14:paraId="25AE5BBF"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2.3 Committee members appointed by the Board shall count towards quorum irrespective of whether they are IWFM Members.</w:t>
      </w:r>
    </w:p>
    <w:p w14:paraId="2D02672F"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2.4 Executive Directors, employees, advisers and other attendees are not Committee members and shall not count towards quorum.</w:t>
      </w:r>
    </w:p>
    <w:p w14:paraId="503D43C6"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2.5 Committee members are expected to attend and contribute effectively to meetings in accordance with the requirements of the Board Regulations.</w:t>
      </w:r>
    </w:p>
    <w:p w14:paraId="595DEAA1"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2.6 Other General Committee Regulations are as stated in Part 5 of the Board Regulations.</w:t>
      </w:r>
    </w:p>
    <w:p w14:paraId="02FF0B51" w14:textId="77777777" w:rsidR="00826BD6" w:rsidRPr="00826BD6" w:rsidRDefault="00826BD6" w:rsidP="00826BD6">
      <w:pPr>
        <w:jc w:val="both"/>
        <w:rPr>
          <w:rFonts w:ascii="Arial" w:hAnsi="Arial" w:cs="Arial"/>
          <w:b/>
          <w:bCs/>
          <w:sz w:val="22"/>
          <w:szCs w:val="22"/>
        </w:rPr>
      </w:pPr>
      <w:r w:rsidRPr="00826BD6">
        <w:rPr>
          <w:rFonts w:ascii="Arial" w:hAnsi="Arial" w:cs="Arial"/>
          <w:b/>
          <w:bCs/>
          <w:sz w:val="22"/>
          <w:szCs w:val="22"/>
        </w:rPr>
        <w:t>3. Composition</w:t>
      </w:r>
    </w:p>
    <w:p w14:paraId="1A228B3D" w14:textId="3426FB79" w:rsidR="00873E7B" w:rsidRDefault="00826BD6" w:rsidP="00826BD6">
      <w:pPr>
        <w:jc w:val="both"/>
        <w:rPr>
          <w:rFonts w:ascii="Arial" w:hAnsi="Arial" w:cs="Arial"/>
          <w:sz w:val="22"/>
          <w:szCs w:val="22"/>
        </w:rPr>
      </w:pPr>
      <w:r w:rsidRPr="00826BD6">
        <w:rPr>
          <w:rFonts w:ascii="Arial" w:hAnsi="Arial" w:cs="Arial"/>
          <w:sz w:val="22"/>
          <w:szCs w:val="22"/>
        </w:rPr>
        <w:t xml:space="preserve">3.1 </w:t>
      </w:r>
      <w:r w:rsidR="00873E7B" w:rsidRPr="00873E7B">
        <w:rPr>
          <w:rFonts w:ascii="Arial" w:hAnsi="Arial" w:cs="Arial"/>
          <w:sz w:val="22"/>
          <w:szCs w:val="22"/>
        </w:rPr>
        <w:t xml:space="preserve">The Committee shall comprise a maximum of </w:t>
      </w:r>
      <w:r w:rsidR="00873E7B">
        <w:rPr>
          <w:rFonts w:ascii="Arial" w:hAnsi="Arial" w:cs="Arial"/>
          <w:sz w:val="22"/>
          <w:szCs w:val="22"/>
        </w:rPr>
        <w:t>six</w:t>
      </w:r>
      <w:r w:rsidR="00873E7B" w:rsidRPr="00873E7B">
        <w:rPr>
          <w:rFonts w:ascii="Arial" w:hAnsi="Arial" w:cs="Arial"/>
          <w:sz w:val="22"/>
          <w:szCs w:val="22"/>
        </w:rPr>
        <w:t xml:space="preserve"> members, formally appointed by the Board following recommendation through the arrangements set out below. </w:t>
      </w:r>
    </w:p>
    <w:p w14:paraId="7E0168F5" w14:textId="1A145C38" w:rsidR="00826BD6" w:rsidRDefault="00826BD6" w:rsidP="00826BD6">
      <w:pPr>
        <w:jc w:val="both"/>
        <w:rPr>
          <w:rFonts w:ascii="Arial" w:hAnsi="Arial" w:cs="Arial"/>
          <w:sz w:val="22"/>
          <w:szCs w:val="22"/>
        </w:rPr>
      </w:pPr>
      <w:r w:rsidRPr="00826BD6">
        <w:rPr>
          <w:rFonts w:ascii="Arial" w:hAnsi="Arial" w:cs="Arial"/>
          <w:sz w:val="22"/>
          <w:szCs w:val="22"/>
        </w:rPr>
        <w:t>3.2 The Committee shall comprise:</w:t>
      </w:r>
    </w:p>
    <w:p w14:paraId="0A376CB6" w14:textId="63304A61" w:rsidR="00873E7B" w:rsidRDefault="00873E7B" w:rsidP="00873E7B">
      <w:pPr>
        <w:ind w:left="720"/>
        <w:rPr>
          <w:rFonts w:ascii="Arial" w:hAnsi="Arial" w:cs="Arial"/>
          <w:sz w:val="22"/>
          <w:szCs w:val="22"/>
        </w:rPr>
      </w:pPr>
      <w:r w:rsidRPr="00873E7B">
        <w:rPr>
          <w:rFonts w:ascii="Arial" w:hAnsi="Arial" w:cs="Arial"/>
          <w:sz w:val="22"/>
          <w:szCs w:val="22"/>
        </w:rPr>
        <w:t>a. a Chair selected and recommended by the Committee from amongst its members and formally appointed by the Board;</w:t>
      </w:r>
      <w:r w:rsidRPr="00873E7B">
        <w:rPr>
          <w:rFonts w:ascii="Arial" w:hAnsi="Arial" w:cs="Arial"/>
          <w:sz w:val="22"/>
          <w:szCs w:val="22"/>
        </w:rPr>
        <w:br/>
        <w:t>b. at least one member of the IWFM Board; and</w:t>
      </w:r>
      <w:r w:rsidRPr="00873E7B">
        <w:rPr>
          <w:rFonts w:ascii="Arial" w:hAnsi="Arial" w:cs="Arial"/>
          <w:sz w:val="22"/>
          <w:szCs w:val="22"/>
        </w:rPr>
        <w:br/>
      </w:r>
      <w:r w:rsidRPr="00873E7B">
        <w:rPr>
          <w:rFonts w:ascii="Arial" w:hAnsi="Arial" w:cs="Arial"/>
          <w:sz w:val="22"/>
          <w:szCs w:val="22"/>
        </w:rPr>
        <w:lastRenderedPageBreak/>
        <w:t xml:space="preserve">c. </w:t>
      </w:r>
      <w:r w:rsidR="00231AD0" w:rsidRPr="00231AD0">
        <w:rPr>
          <w:rFonts w:ascii="Arial" w:hAnsi="Arial" w:cs="Arial"/>
          <w:sz w:val="22"/>
          <w:szCs w:val="22"/>
        </w:rPr>
        <w:t>up to four additional members selected and recommended by the Committee, led by the Chair, and formally appointed by the Board, having regard to the skills, knowledge and experience required across the Committee as a whole.</w:t>
      </w:r>
    </w:p>
    <w:p w14:paraId="4172BE3B" w14:textId="2E2765AE" w:rsidR="00873E7B" w:rsidRPr="00873E7B" w:rsidRDefault="00873E7B" w:rsidP="00873E7B">
      <w:pPr>
        <w:jc w:val="both"/>
        <w:rPr>
          <w:rFonts w:ascii="Arial" w:hAnsi="Arial" w:cs="Arial"/>
          <w:sz w:val="22"/>
          <w:szCs w:val="22"/>
        </w:rPr>
      </w:pPr>
      <w:r w:rsidRPr="00873E7B">
        <w:rPr>
          <w:rFonts w:ascii="Arial" w:hAnsi="Arial" w:cs="Arial"/>
          <w:sz w:val="22"/>
          <w:szCs w:val="22"/>
        </w:rPr>
        <w:t>3.3 Initial appointments to the Committee may be made by the Board following the selection process established for the formation of the Committee. Thereafter, appointments and reappointments shall follow the recommendation arrangements set out above.</w:t>
      </w:r>
    </w:p>
    <w:p w14:paraId="3662A3A1" w14:textId="6083839D" w:rsidR="00826BD6" w:rsidRPr="00826BD6" w:rsidRDefault="00826BD6" w:rsidP="00826BD6">
      <w:pPr>
        <w:jc w:val="both"/>
        <w:rPr>
          <w:rFonts w:ascii="Arial" w:hAnsi="Arial" w:cs="Arial"/>
          <w:sz w:val="22"/>
          <w:szCs w:val="22"/>
        </w:rPr>
      </w:pPr>
      <w:r w:rsidRPr="00826BD6">
        <w:rPr>
          <w:rFonts w:ascii="Arial" w:hAnsi="Arial" w:cs="Arial"/>
          <w:sz w:val="22"/>
          <w:szCs w:val="22"/>
        </w:rPr>
        <w:t>3.</w:t>
      </w:r>
      <w:r w:rsidR="00873E7B">
        <w:rPr>
          <w:rFonts w:ascii="Arial" w:hAnsi="Arial" w:cs="Arial"/>
          <w:sz w:val="22"/>
          <w:szCs w:val="22"/>
        </w:rPr>
        <w:t>4</w:t>
      </w:r>
      <w:r w:rsidRPr="00826BD6">
        <w:rPr>
          <w:rFonts w:ascii="Arial" w:hAnsi="Arial" w:cs="Arial"/>
          <w:sz w:val="22"/>
          <w:szCs w:val="22"/>
        </w:rPr>
        <w:t xml:space="preserve"> Membership of IWFM shall not be a requirement for appointment to the Committee. The Committee may include IWFM Members and suitably qualified individuals who are not members of IWFM where their expertise or independent perspective would strengthen the Committee.</w:t>
      </w:r>
    </w:p>
    <w:p w14:paraId="012C3B26" w14:textId="352EADCD" w:rsidR="00826BD6" w:rsidRPr="00826BD6" w:rsidRDefault="00826BD6" w:rsidP="00826BD6">
      <w:pPr>
        <w:jc w:val="both"/>
        <w:rPr>
          <w:rFonts w:ascii="Arial" w:hAnsi="Arial" w:cs="Arial"/>
          <w:sz w:val="22"/>
          <w:szCs w:val="22"/>
        </w:rPr>
      </w:pPr>
      <w:r w:rsidRPr="00826BD6">
        <w:rPr>
          <w:rFonts w:ascii="Arial" w:hAnsi="Arial" w:cs="Arial"/>
          <w:sz w:val="22"/>
          <w:szCs w:val="22"/>
        </w:rPr>
        <w:t>3.</w:t>
      </w:r>
      <w:r w:rsidR="00873E7B">
        <w:rPr>
          <w:rFonts w:ascii="Arial" w:hAnsi="Arial" w:cs="Arial"/>
          <w:sz w:val="22"/>
          <w:szCs w:val="22"/>
        </w:rPr>
        <w:t>5</w:t>
      </w:r>
      <w:r w:rsidRPr="00826BD6">
        <w:rPr>
          <w:rFonts w:ascii="Arial" w:hAnsi="Arial" w:cs="Arial"/>
          <w:sz w:val="22"/>
          <w:szCs w:val="22"/>
        </w:rPr>
        <w:t xml:space="preserve"> </w:t>
      </w:r>
      <w:r w:rsidR="000226FE" w:rsidRPr="000226FE">
        <w:rPr>
          <w:rFonts w:ascii="Arial" w:hAnsi="Arial" w:cs="Arial"/>
          <w:sz w:val="22"/>
          <w:szCs w:val="22"/>
        </w:rPr>
        <w:t>In making appointments, the Board shall seek to ensure that the Committee collectively provides an appropriate breadth of knowledge, skills, experience and perspectives relevant to the workplace and facilities management profession and the areas within the Committee’s remit.</w:t>
      </w:r>
    </w:p>
    <w:p w14:paraId="18E5C440" w14:textId="419F02E7" w:rsidR="00826BD6" w:rsidRPr="00826BD6" w:rsidRDefault="00826BD6" w:rsidP="00826BD6">
      <w:pPr>
        <w:jc w:val="both"/>
        <w:rPr>
          <w:rFonts w:ascii="Arial" w:hAnsi="Arial" w:cs="Arial"/>
          <w:sz w:val="22"/>
          <w:szCs w:val="22"/>
        </w:rPr>
      </w:pPr>
      <w:r w:rsidRPr="00826BD6">
        <w:rPr>
          <w:rFonts w:ascii="Arial" w:hAnsi="Arial" w:cs="Arial"/>
          <w:sz w:val="22"/>
          <w:szCs w:val="22"/>
        </w:rPr>
        <w:t>3.</w:t>
      </w:r>
      <w:r w:rsidR="00873E7B">
        <w:rPr>
          <w:rFonts w:ascii="Arial" w:hAnsi="Arial" w:cs="Arial"/>
          <w:sz w:val="22"/>
          <w:szCs w:val="22"/>
        </w:rPr>
        <w:t>6</w:t>
      </w:r>
      <w:r w:rsidRPr="00826BD6">
        <w:rPr>
          <w:rFonts w:ascii="Arial" w:hAnsi="Arial" w:cs="Arial"/>
          <w:sz w:val="22"/>
          <w:szCs w:val="22"/>
        </w:rPr>
        <w:t xml:space="preserve"> This should include, where practicable, collective expertise in:</w:t>
      </w:r>
    </w:p>
    <w:p w14:paraId="41A67B81" w14:textId="77777777" w:rsidR="00826BD6" w:rsidRPr="00826BD6" w:rsidRDefault="00826BD6" w:rsidP="00F6205B">
      <w:pPr>
        <w:ind w:firstLine="720"/>
        <w:jc w:val="both"/>
        <w:rPr>
          <w:rFonts w:ascii="Arial" w:hAnsi="Arial" w:cs="Arial"/>
          <w:sz w:val="22"/>
          <w:szCs w:val="22"/>
        </w:rPr>
      </w:pPr>
      <w:r w:rsidRPr="00826BD6">
        <w:rPr>
          <w:rFonts w:ascii="Arial" w:hAnsi="Arial" w:cs="Arial"/>
          <w:sz w:val="22"/>
          <w:szCs w:val="22"/>
        </w:rPr>
        <w:t>a. professional standards and competence frameworks;</w:t>
      </w:r>
    </w:p>
    <w:p w14:paraId="2ADCE84E" w14:textId="77777777" w:rsidR="00826BD6" w:rsidRPr="00826BD6" w:rsidRDefault="00826BD6" w:rsidP="00F6205B">
      <w:pPr>
        <w:ind w:firstLine="720"/>
        <w:jc w:val="both"/>
        <w:rPr>
          <w:rFonts w:ascii="Arial" w:hAnsi="Arial" w:cs="Arial"/>
          <w:sz w:val="22"/>
          <w:szCs w:val="22"/>
        </w:rPr>
      </w:pPr>
      <w:r w:rsidRPr="00826BD6">
        <w:rPr>
          <w:rFonts w:ascii="Arial" w:hAnsi="Arial" w:cs="Arial"/>
          <w:sz w:val="22"/>
          <w:szCs w:val="22"/>
        </w:rPr>
        <w:t>b. workplace and facilities management practice;</w:t>
      </w:r>
    </w:p>
    <w:p w14:paraId="77C8D1CC" w14:textId="77777777" w:rsidR="00826BD6" w:rsidRPr="00826BD6" w:rsidRDefault="00826BD6" w:rsidP="00F6205B">
      <w:pPr>
        <w:ind w:firstLine="720"/>
        <w:jc w:val="both"/>
        <w:rPr>
          <w:rFonts w:ascii="Arial" w:hAnsi="Arial" w:cs="Arial"/>
          <w:sz w:val="22"/>
          <w:szCs w:val="22"/>
        </w:rPr>
      </w:pPr>
      <w:r w:rsidRPr="00826BD6">
        <w:rPr>
          <w:rFonts w:ascii="Arial" w:hAnsi="Arial" w:cs="Arial"/>
          <w:sz w:val="22"/>
          <w:szCs w:val="22"/>
        </w:rPr>
        <w:t>c. professional membership and grading;</w:t>
      </w:r>
    </w:p>
    <w:p w14:paraId="6E257AAA" w14:textId="77777777" w:rsidR="00826BD6" w:rsidRPr="00826BD6" w:rsidRDefault="00826BD6" w:rsidP="00F6205B">
      <w:pPr>
        <w:ind w:firstLine="720"/>
        <w:jc w:val="both"/>
        <w:rPr>
          <w:rFonts w:ascii="Arial" w:hAnsi="Arial" w:cs="Arial"/>
          <w:sz w:val="22"/>
          <w:szCs w:val="22"/>
        </w:rPr>
      </w:pPr>
      <w:r w:rsidRPr="00826BD6">
        <w:rPr>
          <w:rFonts w:ascii="Arial" w:hAnsi="Arial" w:cs="Arial"/>
          <w:sz w:val="22"/>
          <w:szCs w:val="22"/>
        </w:rPr>
        <w:t>d. assessment methodology, standardisation and quality assurance;</w:t>
      </w:r>
    </w:p>
    <w:p w14:paraId="2EDFB9D4" w14:textId="77777777" w:rsidR="00826BD6" w:rsidRPr="00826BD6" w:rsidRDefault="00826BD6" w:rsidP="00F6205B">
      <w:pPr>
        <w:ind w:firstLine="720"/>
        <w:jc w:val="both"/>
        <w:rPr>
          <w:rFonts w:ascii="Arial" w:hAnsi="Arial" w:cs="Arial"/>
          <w:sz w:val="22"/>
          <w:szCs w:val="22"/>
        </w:rPr>
      </w:pPr>
      <w:r w:rsidRPr="00826BD6">
        <w:rPr>
          <w:rFonts w:ascii="Arial" w:hAnsi="Arial" w:cs="Arial"/>
          <w:sz w:val="22"/>
          <w:szCs w:val="22"/>
        </w:rPr>
        <w:t>e. education and qualifications;</w:t>
      </w:r>
    </w:p>
    <w:p w14:paraId="57E8CD69" w14:textId="77777777" w:rsidR="00826BD6" w:rsidRPr="00826BD6" w:rsidRDefault="00826BD6" w:rsidP="00F6205B">
      <w:pPr>
        <w:ind w:firstLine="720"/>
        <w:jc w:val="both"/>
        <w:rPr>
          <w:rFonts w:ascii="Arial" w:hAnsi="Arial" w:cs="Arial"/>
          <w:sz w:val="22"/>
          <w:szCs w:val="22"/>
        </w:rPr>
      </w:pPr>
      <w:r w:rsidRPr="00826BD6">
        <w:rPr>
          <w:rFonts w:ascii="Arial" w:hAnsi="Arial" w:cs="Arial"/>
          <w:sz w:val="22"/>
          <w:szCs w:val="22"/>
        </w:rPr>
        <w:t>f. continuing professional development;</w:t>
      </w:r>
    </w:p>
    <w:p w14:paraId="191D155B" w14:textId="77777777" w:rsidR="00826BD6" w:rsidRPr="00826BD6" w:rsidRDefault="00826BD6" w:rsidP="00F6205B">
      <w:pPr>
        <w:ind w:firstLine="720"/>
        <w:jc w:val="both"/>
        <w:rPr>
          <w:rFonts w:ascii="Arial" w:hAnsi="Arial" w:cs="Arial"/>
          <w:sz w:val="22"/>
          <w:szCs w:val="22"/>
        </w:rPr>
      </w:pPr>
      <w:r w:rsidRPr="00826BD6">
        <w:rPr>
          <w:rFonts w:ascii="Arial" w:hAnsi="Arial" w:cs="Arial"/>
          <w:sz w:val="22"/>
          <w:szCs w:val="22"/>
        </w:rPr>
        <w:t>g. higher education accreditation and/or recognition;</w:t>
      </w:r>
    </w:p>
    <w:p w14:paraId="0BC9003B" w14:textId="77777777" w:rsidR="00826BD6" w:rsidRPr="00826BD6" w:rsidRDefault="00826BD6" w:rsidP="00F6205B">
      <w:pPr>
        <w:ind w:firstLine="720"/>
        <w:jc w:val="both"/>
        <w:rPr>
          <w:rFonts w:ascii="Arial" w:hAnsi="Arial" w:cs="Arial"/>
          <w:sz w:val="22"/>
          <w:szCs w:val="22"/>
        </w:rPr>
      </w:pPr>
      <w:r w:rsidRPr="00826BD6">
        <w:rPr>
          <w:rFonts w:ascii="Arial" w:hAnsi="Arial" w:cs="Arial"/>
          <w:sz w:val="22"/>
          <w:szCs w:val="22"/>
        </w:rPr>
        <w:t>h. employer and industry perspectives; and</w:t>
      </w:r>
    </w:p>
    <w:p w14:paraId="391A8571" w14:textId="77777777" w:rsidR="00826BD6" w:rsidRPr="00826BD6" w:rsidRDefault="00826BD6" w:rsidP="00F6205B">
      <w:pPr>
        <w:ind w:firstLine="720"/>
        <w:jc w:val="both"/>
        <w:rPr>
          <w:rFonts w:ascii="Arial" w:hAnsi="Arial" w:cs="Arial"/>
          <w:sz w:val="22"/>
          <w:szCs w:val="22"/>
        </w:rPr>
      </w:pPr>
      <w:proofErr w:type="spellStart"/>
      <w:r w:rsidRPr="00826BD6">
        <w:rPr>
          <w:rFonts w:ascii="Arial" w:hAnsi="Arial" w:cs="Arial"/>
          <w:sz w:val="22"/>
          <w:szCs w:val="22"/>
        </w:rPr>
        <w:t>i</w:t>
      </w:r>
      <w:proofErr w:type="spellEnd"/>
      <w:r w:rsidRPr="00826BD6">
        <w:rPr>
          <w:rFonts w:ascii="Arial" w:hAnsi="Arial" w:cs="Arial"/>
          <w:sz w:val="22"/>
          <w:szCs w:val="22"/>
        </w:rPr>
        <w:t>. governance and independent oversight.</w:t>
      </w:r>
    </w:p>
    <w:p w14:paraId="497E07C2" w14:textId="7044E70F" w:rsidR="00826BD6" w:rsidRPr="00826BD6" w:rsidRDefault="00826BD6" w:rsidP="00826BD6">
      <w:pPr>
        <w:jc w:val="both"/>
        <w:rPr>
          <w:rFonts w:ascii="Arial" w:hAnsi="Arial" w:cs="Arial"/>
          <w:sz w:val="22"/>
          <w:szCs w:val="22"/>
        </w:rPr>
      </w:pPr>
      <w:r w:rsidRPr="00826BD6">
        <w:rPr>
          <w:rFonts w:ascii="Arial" w:hAnsi="Arial" w:cs="Arial"/>
          <w:sz w:val="22"/>
          <w:szCs w:val="22"/>
        </w:rPr>
        <w:t>3.</w:t>
      </w:r>
      <w:r w:rsidR="00873E7B">
        <w:rPr>
          <w:rFonts w:ascii="Arial" w:hAnsi="Arial" w:cs="Arial"/>
          <w:sz w:val="22"/>
          <w:szCs w:val="22"/>
        </w:rPr>
        <w:t>7</w:t>
      </w:r>
      <w:r w:rsidRPr="00826BD6">
        <w:rPr>
          <w:rFonts w:ascii="Arial" w:hAnsi="Arial" w:cs="Arial"/>
          <w:sz w:val="22"/>
          <w:szCs w:val="22"/>
        </w:rPr>
        <w:t xml:space="preserve"> The Board shall seek an appropriate balance between knowledge and experience of IWFM and the profession and independent external expertise and perspective.</w:t>
      </w:r>
    </w:p>
    <w:p w14:paraId="02FC70CD" w14:textId="0E6F3449" w:rsidR="00826BD6" w:rsidRPr="00826BD6" w:rsidRDefault="00826BD6" w:rsidP="00826BD6">
      <w:pPr>
        <w:jc w:val="both"/>
        <w:rPr>
          <w:rFonts w:ascii="Arial" w:hAnsi="Arial" w:cs="Arial"/>
          <w:sz w:val="22"/>
          <w:szCs w:val="22"/>
        </w:rPr>
      </w:pPr>
      <w:r w:rsidRPr="00826BD6">
        <w:rPr>
          <w:rFonts w:ascii="Arial" w:hAnsi="Arial" w:cs="Arial"/>
          <w:sz w:val="22"/>
          <w:szCs w:val="22"/>
        </w:rPr>
        <w:t>3.</w:t>
      </w:r>
      <w:r w:rsidR="00873E7B">
        <w:rPr>
          <w:rFonts w:ascii="Arial" w:hAnsi="Arial" w:cs="Arial"/>
          <w:sz w:val="22"/>
          <w:szCs w:val="22"/>
        </w:rPr>
        <w:t>8</w:t>
      </w:r>
      <w:r w:rsidRPr="00826BD6">
        <w:rPr>
          <w:rFonts w:ascii="Arial" w:hAnsi="Arial" w:cs="Arial"/>
          <w:sz w:val="22"/>
          <w:szCs w:val="22"/>
        </w:rPr>
        <w:t xml:space="preserve"> The accountable Executive Director, or their nominee, shall normally attend meetings but shall not be a Committee member or have voting rights.</w:t>
      </w:r>
    </w:p>
    <w:p w14:paraId="29801B5A" w14:textId="2DB24A33" w:rsidR="00826BD6" w:rsidRPr="00826BD6" w:rsidRDefault="00826BD6" w:rsidP="00826BD6">
      <w:pPr>
        <w:jc w:val="both"/>
        <w:rPr>
          <w:rFonts w:ascii="Arial" w:hAnsi="Arial" w:cs="Arial"/>
          <w:sz w:val="22"/>
          <w:szCs w:val="22"/>
        </w:rPr>
      </w:pPr>
      <w:r w:rsidRPr="00826BD6">
        <w:rPr>
          <w:rFonts w:ascii="Arial" w:hAnsi="Arial" w:cs="Arial"/>
          <w:sz w:val="22"/>
          <w:szCs w:val="22"/>
        </w:rPr>
        <w:t>3.</w:t>
      </w:r>
      <w:r w:rsidR="00873E7B">
        <w:rPr>
          <w:rFonts w:ascii="Arial" w:hAnsi="Arial" w:cs="Arial"/>
          <w:sz w:val="22"/>
          <w:szCs w:val="22"/>
        </w:rPr>
        <w:t>9</w:t>
      </w:r>
      <w:r w:rsidRPr="00826BD6">
        <w:rPr>
          <w:rFonts w:ascii="Arial" w:hAnsi="Arial" w:cs="Arial"/>
          <w:sz w:val="22"/>
          <w:szCs w:val="22"/>
        </w:rPr>
        <w:t xml:space="preserve"> The Company Secretary, or their nominee, shall provide governance support to the Committee.</w:t>
      </w:r>
    </w:p>
    <w:p w14:paraId="6DF5F5E6" w14:textId="3DF69D76" w:rsidR="00873E7B" w:rsidRPr="00873E7B" w:rsidRDefault="00826BD6" w:rsidP="00826BD6">
      <w:pPr>
        <w:jc w:val="both"/>
        <w:rPr>
          <w:rFonts w:ascii="Arial" w:hAnsi="Arial" w:cs="Arial"/>
          <w:sz w:val="22"/>
          <w:szCs w:val="22"/>
        </w:rPr>
      </w:pPr>
      <w:r w:rsidRPr="00826BD6">
        <w:rPr>
          <w:rFonts w:ascii="Arial" w:hAnsi="Arial" w:cs="Arial"/>
          <w:sz w:val="22"/>
          <w:szCs w:val="22"/>
        </w:rPr>
        <w:t>3.</w:t>
      </w:r>
      <w:r w:rsidR="00873E7B">
        <w:rPr>
          <w:rFonts w:ascii="Arial" w:hAnsi="Arial" w:cs="Arial"/>
          <w:sz w:val="22"/>
          <w:szCs w:val="22"/>
        </w:rPr>
        <w:t>10</w:t>
      </w:r>
      <w:r w:rsidRPr="00826BD6">
        <w:rPr>
          <w:rFonts w:ascii="Arial" w:hAnsi="Arial" w:cs="Arial"/>
          <w:sz w:val="22"/>
          <w:szCs w:val="22"/>
        </w:rPr>
        <w:t xml:space="preserve"> The Committee may invite IWFM employees, advisers, subject matter experts or other individuals to attend meetings for relevant items where their expertise would assist the Committee.</w:t>
      </w:r>
    </w:p>
    <w:p w14:paraId="2726AD8C" w14:textId="2CC3C8AA" w:rsidR="00826BD6" w:rsidRPr="00826BD6" w:rsidRDefault="00826BD6" w:rsidP="00826BD6">
      <w:pPr>
        <w:jc w:val="both"/>
        <w:rPr>
          <w:rFonts w:ascii="Arial" w:hAnsi="Arial" w:cs="Arial"/>
          <w:b/>
          <w:bCs/>
          <w:sz w:val="22"/>
          <w:szCs w:val="22"/>
        </w:rPr>
      </w:pPr>
      <w:r w:rsidRPr="00826BD6">
        <w:rPr>
          <w:rFonts w:ascii="Arial" w:hAnsi="Arial" w:cs="Arial"/>
          <w:b/>
          <w:bCs/>
          <w:sz w:val="22"/>
          <w:szCs w:val="22"/>
        </w:rPr>
        <w:t>4. Functions</w:t>
      </w:r>
    </w:p>
    <w:p w14:paraId="11DC9606"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t>4.1</w:t>
      </w:r>
      <w:r w:rsidRPr="00826BD6">
        <w:rPr>
          <w:rFonts w:ascii="Arial" w:hAnsi="Arial" w:cs="Arial"/>
          <w:b/>
          <w:bCs/>
          <w:sz w:val="22"/>
          <w:szCs w:val="22"/>
        </w:rPr>
        <w:t xml:space="preserve"> Professional Standards</w:t>
      </w:r>
    </w:p>
    <w:p w14:paraId="56742691"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lastRenderedPageBreak/>
        <w:t>The Committee shall oversee the development and maintenance of IWFM’s Professional Standards, including reviewing and approving recommendations concerning the qualifications, skills and competencies required for entry to and progression within the profession.</w:t>
      </w:r>
    </w:p>
    <w:p w14:paraId="40F85FF8"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keep the Professional Standards under review to ensure that they remain relevant to developments within the profession, regulatory requirements, societal expectations and recognised good practice.</w:t>
      </w:r>
    </w:p>
    <w:p w14:paraId="13867806"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t>4.2</w:t>
      </w:r>
      <w:r w:rsidRPr="00826BD6">
        <w:rPr>
          <w:rFonts w:ascii="Arial" w:hAnsi="Arial" w:cs="Arial"/>
          <w:b/>
          <w:bCs/>
          <w:sz w:val="22"/>
          <w:szCs w:val="22"/>
        </w:rPr>
        <w:t xml:space="preserve"> Professional Practice and Best Practice</w:t>
      </w:r>
    </w:p>
    <w:p w14:paraId="28B74A3C"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provide oversight of IWFM’s approach to identifying and promoting professional best practice, supporting the continuing quality, competence and development of the profession.</w:t>
      </w:r>
    </w:p>
    <w:p w14:paraId="1AA7A149"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t>4.3</w:t>
      </w:r>
      <w:r w:rsidRPr="00826BD6">
        <w:rPr>
          <w:rFonts w:ascii="Arial" w:hAnsi="Arial" w:cs="Arial"/>
          <w:b/>
          <w:bCs/>
          <w:sz w:val="22"/>
          <w:szCs w:val="22"/>
        </w:rPr>
        <w:t xml:space="preserve"> Continuing Professional Development</w:t>
      </w:r>
    </w:p>
    <w:p w14:paraId="2BE33DEB"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oversee the development of IWFM’s CPD policy and framework, including the requirements and principles governing members’ continuing professional development.</w:t>
      </w:r>
    </w:p>
    <w:p w14:paraId="47CB3663"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review and approve recommendations concerning IWFM’s approach to CPD, including the balance between outcomes and reflection and input-based requirements, and oversee the principles governing CPD content and support provided by IWFM to members.</w:t>
      </w:r>
    </w:p>
    <w:p w14:paraId="42A206D9"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t>4.4</w:t>
      </w:r>
      <w:r w:rsidRPr="00826BD6">
        <w:rPr>
          <w:rFonts w:ascii="Arial" w:hAnsi="Arial" w:cs="Arial"/>
          <w:b/>
          <w:bCs/>
          <w:sz w:val="22"/>
          <w:szCs w:val="22"/>
        </w:rPr>
        <w:t xml:space="preserve"> Membership Grades and Assessment</w:t>
      </w:r>
    </w:p>
    <w:p w14:paraId="5CED9450"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oversee the professional requirements and assessment arrangements underpinning IWFM membership grades, including the criteria and processes for entry and progression, ensuring that these remain appropriately aligned with IWFM’s Professional Standards.</w:t>
      </w:r>
    </w:p>
    <w:p w14:paraId="215FA6F8"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t>4.5</w:t>
      </w:r>
      <w:r w:rsidRPr="00826BD6">
        <w:rPr>
          <w:rFonts w:ascii="Arial" w:hAnsi="Arial" w:cs="Arial"/>
          <w:b/>
          <w:bCs/>
          <w:sz w:val="22"/>
          <w:szCs w:val="22"/>
        </w:rPr>
        <w:t xml:space="preserve"> Assessment Methodology and Assurance</w:t>
      </w:r>
    </w:p>
    <w:p w14:paraId="6D952CC4"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oversee the methodology by which the competence of applicants and members is assessed.</w:t>
      </w:r>
    </w:p>
    <w:p w14:paraId="0EE34FA5"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receive appropriate assurance regarding the consistency, fairness, rigour, validity and integrity of membership assessment and standardisation processes, including appropriate review of assessment outcomes and processes.</w:t>
      </w:r>
    </w:p>
    <w:p w14:paraId="7A41E86F"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t>4.6</w:t>
      </w:r>
      <w:r w:rsidRPr="00826BD6">
        <w:rPr>
          <w:rFonts w:ascii="Arial" w:hAnsi="Arial" w:cs="Arial"/>
          <w:b/>
          <w:bCs/>
          <w:sz w:val="22"/>
          <w:szCs w:val="22"/>
        </w:rPr>
        <w:t xml:space="preserve"> Higher Education Accreditation</w:t>
      </w:r>
    </w:p>
    <w:p w14:paraId="2CBC0BB2" w14:textId="46CDA3F3" w:rsidR="00F6205B" w:rsidRPr="00826BD6" w:rsidRDefault="00826BD6" w:rsidP="00826BD6">
      <w:pPr>
        <w:jc w:val="both"/>
        <w:rPr>
          <w:rFonts w:ascii="Arial" w:hAnsi="Arial" w:cs="Arial"/>
          <w:sz w:val="22"/>
          <w:szCs w:val="22"/>
        </w:rPr>
      </w:pPr>
      <w:r w:rsidRPr="00826BD6">
        <w:rPr>
          <w:rFonts w:ascii="Arial" w:hAnsi="Arial" w:cs="Arial"/>
          <w:sz w:val="22"/>
          <w:szCs w:val="22"/>
        </w:rPr>
        <w:t>The Committee shall oversee and periodically review the process by which higher education programmes are accredited against IWFM’s Professional Standards, providing assurance as to the consistency, rigour and validity of those arrangements.</w:t>
      </w:r>
    </w:p>
    <w:p w14:paraId="18AD5228"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t>4.7</w:t>
      </w:r>
      <w:r w:rsidRPr="00826BD6">
        <w:rPr>
          <w:rFonts w:ascii="Arial" w:hAnsi="Arial" w:cs="Arial"/>
          <w:b/>
          <w:bCs/>
          <w:sz w:val="22"/>
          <w:szCs w:val="22"/>
        </w:rPr>
        <w:t xml:space="preserve"> Member Guidance and Support</w:t>
      </w:r>
    </w:p>
    <w:p w14:paraId="0DBE7E2D" w14:textId="39039DEC" w:rsidR="00F472DB" w:rsidRPr="00826BD6" w:rsidRDefault="00826BD6" w:rsidP="00826BD6">
      <w:pPr>
        <w:jc w:val="both"/>
        <w:rPr>
          <w:rFonts w:ascii="Arial" w:hAnsi="Arial" w:cs="Arial"/>
          <w:sz w:val="22"/>
          <w:szCs w:val="22"/>
        </w:rPr>
      </w:pPr>
      <w:r w:rsidRPr="00826BD6">
        <w:rPr>
          <w:rFonts w:ascii="Arial" w:hAnsi="Arial" w:cs="Arial"/>
          <w:sz w:val="22"/>
          <w:szCs w:val="22"/>
        </w:rPr>
        <w:t>The Committee shall seek assurance that appropriate guidance, resources, mentoring, training and other support are available to enable members to understand, maintain and develop against IWFM’s Professional Standards and CPD requirements.</w:t>
      </w:r>
    </w:p>
    <w:p w14:paraId="3AAC8CDB"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lastRenderedPageBreak/>
        <w:t>4.8</w:t>
      </w:r>
      <w:r w:rsidRPr="00826BD6">
        <w:rPr>
          <w:rFonts w:ascii="Arial" w:hAnsi="Arial" w:cs="Arial"/>
          <w:b/>
          <w:bCs/>
          <w:sz w:val="22"/>
          <w:szCs w:val="22"/>
        </w:rPr>
        <w:t xml:space="preserve"> Stakeholder Engagement</w:t>
      </w:r>
    </w:p>
    <w:p w14:paraId="08A48886"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seek assurance that IWFM has appropriate mechanisms for gathering and considering feedback from members, employers, practitioners, education providers and other relevant stakeholders.</w:t>
      </w:r>
    </w:p>
    <w:p w14:paraId="2B1643CA"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use this insight to support assurance that IWFM’s Professional Standards and assessment arrangements continue to reflect the needs and expectations of the profession, employers and the public.</w:t>
      </w:r>
    </w:p>
    <w:p w14:paraId="10335E53"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t>4.9</w:t>
      </w:r>
      <w:r w:rsidRPr="00826BD6">
        <w:rPr>
          <w:rFonts w:ascii="Arial" w:hAnsi="Arial" w:cs="Arial"/>
          <w:b/>
          <w:bCs/>
          <w:sz w:val="22"/>
          <w:szCs w:val="22"/>
        </w:rPr>
        <w:t xml:space="preserve"> Advocacy and Awareness</w:t>
      </w:r>
    </w:p>
    <w:p w14:paraId="7736DB7C" w14:textId="77777777" w:rsidR="00F472DB" w:rsidRPr="00F472DB" w:rsidRDefault="00F472DB" w:rsidP="00F472DB">
      <w:pPr>
        <w:jc w:val="both"/>
        <w:rPr>
          <w:rFonts w:ascii="Arial" w:hAnsi="Arial" w:cs="Arial"/>
          <w:sz w:val="22"/>
          <w:szCs w:val="22"/>
        </w:rPr>
      </w:pPr>
      <w:r w:rsidRPr="00F472DB">
        <w:rPr>
          <w:rFonts w:ascii="Arial" w:hAnsi="Arial" w:cs="Arial"/>
          <w:sz w:val="22"/>
          <w:szCs w:val="22"/>
        </w:rPr>
        <w:t>The Committee shall support IWFM in raising awareness of the importance and value of professional standards and provide professional standards insight to inform IWFM’s wider advocacy, policy and engagement activity, including, where appropriate, developments in external policy and standards affecting the profession.</w:t>
      </w:r>
    </w:p>
    <w:p w14:paraId="744D8181" w14:textId="77777777" w:rsidR="00826BD6" w:rsidRPr="00826BD6" w:rsidRDefault="00826BD6" w:rsidP="00826BD6">
      <w:pPr>
        <w:jc w:val="both"/>
        <w:rPr>
          <w:rFonts w:ascii="Arial" w:hAnsi="Arial" w:cs="Arial"/>
          <w:b/>
          <w:bCs/>
          <w:sz w:val="22"/>
          <w:szCs w:val="22"/>
        </w:rPr>
      </w:pPr>
      <w:r w:rsidRPr="00F472DB">
        <w:rPr>
          <w:rFonts w:ascii="Arial" w:hAnsi="Arial" w:cs="Arial"/>
          <w:sz w:val="22"/>
          <w:szCs w:val="22"/>
        </w:rPr>
        <w:t>4.10</w:t>
      </w:r>
      <w:r w:rsidRPr="00826BD6">
        <w:rPr>
          <w:rFonts w:ascii="Arial" w:hAnsi="Arial" w:cs="Arial"/>
          <w:b/>
          <w:bCs/>
          <w:sz w:val="22"/>
          <w:szCs w:val="22"/>
        </w:rPr>
        <w:t xml:space="preserve"> Board Assurance</w:t>
      </w:r>
    </w:p>
    <w:p w14:paraId="5C6E2208"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The Committee shall provide assurance and make recommendations to the Board on matters within its remit, including material changes to IWFM’s Professional Standards, membership and grading framework, CPD framework and assessment arrangements.</w:t>
      </w:r>
    </w:p>
    <w:p w14:paraId="081C639A" w14:textId="77777777" w:rsidR="00826BD6" w:rsidRPr="00826BD6" w:rsidRDefault="00826BD6" w:rsidP="00826BD6">
      <w:pPr>
        <w:jc w:val="both"/>
        <w:rPr>
          <w:rFonts w:ascii="Arial" w:hAnsi="Arial" w:cs="Arial"/>
          <w:b/>
          <w:bCs/>
          <w:sz w:val="22"/>
          <w:szCs w:val="22"/>
        </w:rPr>
      </w:pPr>
      <w:r w:rsidRPr="00826BD6">
        <w:rPr>
          <w:rFonts w:ascii="Arial" w:hAnsi="Arial" w:cs="Arial"/>
          <w:b/>
          <w:bCs/>
          <w:sz w:val="22"/>
          <w:szCs w:val="22"/>
        </w:rPr>
        <w:t>5. Authority</w:t>
      </w:r>
    </w:p>
    <w:p w14:paraId="4425C47E"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5.1 The Committee is authorised by the Board to obtain the information and assurance reasonably required to discharge its responsibilities.</w:t>
      </w:r>
    </w:p>
    <w:p w14:paraId="77EFDC6D"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5.2 The Committee may request attendance by relevant IWFM officers, employees or advisers and may seek appropriate professional or specialist advice where necessary, subject to the Institute’s delegated authorities.</w:t>
      </w:r>
    </w:p>
    <w:p w14:paraId="47E84CD0"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5.3 The Committee may recommend the establishment of time-limited working or advisory groups where specialist input is required, in accordance with the Board Regulations.</w:t>
      </w:r>
    </w:p>
    <w:p w14:paraId="35D7B449"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5.4 The Committee shall refer matters requiring Board approval or falling outside its delegated authority to the Board.</w:t>
      </w:r>
    </w:p>
    <w:p w14:paraId="2F2C1D80"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5.5 The Committee shall not determine individual professional conduct or disciplinary matters, which remain within the remit of the Constitution &amp; Ethics Committee.</w:t>
      </w:r>
    </w:p>
    <w:p w14:paraId="4A748E31" w14:textId="77777777" w:rsidR="00826BD6" w:rsidRPr="00826BD6" w:rsidRDefault="00826BD6" w:rsidP="00826BD6">
      <w:pPr>
        <w:jc w:val="both"/>
        <w:rPr>
          <w:rFonts w:ascii="Arial" w:hAnsi="Arial" w:cs="Arial"/>
          <w:b/>
          <w:bCs/>
          <w:sz w:val="22"/>
          <w:szCs w:val="22"/>
        </w:rPr>
      </w:pPr>
      <w:r w:rsidRPr="00826BD6">
        <w:rPr>
          <w:rFonts w:ascii="Arial" w:hAnsi="Arial" w:cs="Arial"/>
          <w:b/>
          <w:bCs/>
          <w:sz w:val="22"/>
          <w:szCs w:val="22"/>
        </w:rPr>
        <w:t>6. Reporting and Assurance</w:t>
      </w:r>
    </w:p>
    <w:p w14:paraId="747FCDB5"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6.1 The Committee is accountable to the IWFM Board.</w:t>
      </w:r>
    </w:p>
    <w:p w14:paraId="660385C6"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6.2 The Chair shall report to the Board following each Committee meeting on significant matters considered, assurance received, decisions made within delegated authority and recommendations requiring Board consideration or approval.</w:t>
      </w:r>
    </w:p>
    <w:p w14:paraId="302FE1DC"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6.3 Minutes of Committee meetings shall be maintained in accordance with IWFM’s governance arrangements.</w:t>
      </w:r>
    </w:p>
    <w:p w14:paraId="37F88219"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lastRenderedPageBreak/>
        <w:t>6.4 The Committee shall periodically provide the Board with an assessment of its effectiveness and assurance regarding the areas within its remit.</w:t>
      </w:r>
    </w:p>
    <w:p w14:paraId="53A3D65E" w14:textId="77777777" w:rsidR="00826BD6" w:rsidRPr="00826BD6" w:rsidRDefault="00826BD6" w:rsidP="00826BD6">
      <w:pPr>
        <w:jc w:val="both"/>
        <w:rPr>
          <w:rFonts w:ascii="Arial" w:hAnsi="Arial" w:cs="Arial"/>
          <w:b/>
          <w:bCs/>
          <w:sz w:val="22"/>
          <w:szCs w:val="22"/>
        </w:rPr>
      </w:pPr>
      <w:r w:rsidRPr="00826BD6">
        <w:rPr>
          <w:rFonts w:ascii="Arial" w:hAnsi="Arial" w:cs="Arial"/>
          <w:b/>
          <w:bCs/>
          <w:sz w:val="22"/>
          <w:szCs w:val="22"/>
        </w:rPr>
        <w:t>7. Review</w:t>
      </w:r>
    </w:p>
    <w:p w14:paraId="4F63B375"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7.1 The Committee shall review its Terms of Reference and effectiveness at least annually and recommend any amendments to the Board.</w:t>
      </w:r>
    </w:p>
    <w:p w14:paraId="3EE86B24" w14:textId="77777777" w:rsidR="00826BD6" w:rsidRPr="00826BD6" w:rsidRDefault="00826BD6" w:rsidP="00826BD6">
      <w:pPr>
        <w:jc w:val="both"/>
        <w:rPr>
          <w:rFonts w:ascii="Arial" w:hAnsi="Arial" w:cs="Arial"/>
          <w:sz w:val="22"/>
          <w:szCs w:val="22"/>
        </w:rPr>
      </w:pPr>
      <w:r w:rsidRPr="00826BD6">
        <w:rPr>
          <w:rFonts w:ascii="Arial" w:hAnsi="Arial" w:cs="Arial"/>
          <w:sz w:val="22"/>
          <w:szCs w:val="22"/>
        </w:rPr>
        <w:t>7.2 The Board may amend the Committee’s Terms of Reference, composition or delegated authority at any time.</w:t>
      </w:r>
    </w:p>
    <w:p w14:paraId="4E56F839" w14:textId="77777777" w:rsidR="00F44778" w:rsidRPr="00826BD6" w:rsidRDefault="00F44778" w:rsidP="00826BD6">
      <w:pPr>
        <w:jc w:val="both"/>
        <w:rPr>
          <w:rFonts w:ascii="Arial" w:hAnsi="Arial" w:cs="Arial"/>
          <w:sz w:val="22"/>
          <w:szCs w:val="22"/>
        </w:rPr>
      </w:pPr>
    </w:p>
    <w:sectPr w:rsidR="00F44778" w:rsidRPr="00826BD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E5AA2" w14:textId="77777777" w:rsidR="00545E41" w:rsidRDefault="00545E41" w:rsidP="00826BD6">
      <w:pPr>
        <w:spacing w:after="0" w:line="240" w:lineRule="auto"/>
      </w:pPr>
      <w:r>
        <w:separator/>
      </w:r>
    </w:p>
  </w:endnote>
  <w:endnote w:type="continuationSeparator" w:id="0">
    <w:p w14:paraId="460E4AD7" w14:textId="77777777" w:rsidR="00545E41" w:rsidRDefault="00545E41" w:rsidP="00826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E269" w14:textId="77777777" w:rsidR="00D71DF3" w:rsidRDefault="00D71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709666"/>
      <w:docPartObj>
        <w:docPartGallery w:val="Page Numbers (Bottom of Page)"/>
        <w:docPartUnique/>
      </w:docPartObj>
    </w:sdtPr>
    <w:sdtEndPr/>
    <w:sdtContent>
      <w:sdt>
        <w:sdtPr>
          <w:id w:val="-1769616900"/>
          <w:docPartObj>
            <w:docPartGallery w:val="Page Numbers (Top of Page)"/>
            <w:docPartUnique/>
          </w:docPartObj>
        </w:sdtPr>
        <w:sdtEndPr/>
        <w:sdtContent>
          <w:p w14:paraId="20EE05F7" w14:textId="73208099" w:rsidR="00F6205B" w:rsidRDefault="00F6205B" w:rsidP="00F6205B">
            <w:pPr>
              <w:pStyle w:val="Footer"/>
            </w:pPr>
            <w:r w:rsidRPr="00F6205B">
              <w:rPr>
                <w:rFonts w:ascii="Arial" w:hAnsi="Arial" w:cs="Arial"/>
                <w:sz w:val="20"/>
                <w:szCs w:val="20"/>
              </w:rPr>
              <w:t xml:space="preserve">Professional Standards Committee Terms of Reference | Version 1.0 | Approved: </w:t>
            </w:r>
            <w:r w:rsidRPr="00F6205B">
              <w:rPr>
                <w:rFonts w:ascii="Arial" w:hAnsi="Arial" w:cs="Arial"/>
                <w:sz w:val="20"/>
                <w:szCs w:val="20"/>
                <w:highlight w:val="yellow"/>
              </w:rPr>
              <w:t>[date]</w:t>
            </w:r>
            <w:r w:rsidRPr="00F6205B">
              <w:rPr>
                <w:rFonts w:ascii="Arial" w:hAnsi="Arial" w:cs="Arial"/>
                <w:sz w:val="20"/>
                <w:szCs w:val="20"/>
              </w:rPr>
              <w:t xml:space="preserve"> | Next Review: </w:t>
            </w:r>
            <w:r w:rsidRPr="00F6205B">
              <w:rPr>
                <w:rFonts w:ascii="Arial" w:hAnsi="Arial" w:cs="Arial"/>
                <w:sz w:val="20"/>
                <w:szCs w:val="20"/>
                <w:highlight w:val="yellow"/>
              </w:rPr>
              <w:t>[date]</w:t>
            </w:r>
            <w:r>
              <w:rPr>
                <w:rFonts w:ascii="Arial" w:hAnsi="Arial" w:cs="Arial"/>
                <w:sz w:val="20"/>
                <w:szCs w:val="20"/>
              </w:rPr>
              <w:tab/>
            </w:r>
            <w:r>
              <w:rPr>
                <w:rFonts w:ascii="Arial" w:hAnsi="Arial" w:cs="Arial"/>
                <w:sz w:val="20"/>
                <w:szCs w:val="20"/>
              </w:rPr>
              <w:tab/>
            </w:r>
            <w:r w:rsidRPr="00F6205B">
              <w:rPr>
                <w:rFonts w:ascii="Arial" w:hAnsi="Arial" w:cs="Arial"/>
                <w:sz w:val="20"/>
                <w:szCs w:val="20"/>
              </w:rPr>
              <w:t xml:space="preserve">Page </w:t>
            </w:r>
            <w:r w:rsidRPr="00F6205B">
              <w:rPr>
                <w:rFonts w:ascii="Arial" w:hAnsi="Arial" w:cs="Arial"/>
                <w:sz w:val="20"/>
                <w:szCs w:val="20"/>
              </w:rPr>
              <w:fldChar w:fldCharType="begin"/>
            </w:r>
            <w:r w:rsidRPr="00F6205B">
              <w:rPr>
                <w:rFonts w:ascii="Arial" w:hAnsi="Arial" w:cs="Arial"/>
                <w:sz w:val="20"/>
                <w:szCs w:val="20"/>
              </w:rPr>
              <w:instrText xml:space="preserve"> PAGE </w:instrText>
            </w:r>
            <w:r w:rsidRPr="00F6205B">
              <w:rPr>
                <w:rFonts w:ascii="Arial" w:hAnsi="Arial" w:cs="Arial"/>
                <w:sz w:val="20"/>
                <w:szCs w:val="20"/>
              </w:rPr>
              <w:fldChar w:fldCharType="separate"/>
            </w:r>
            <w:r w:rsidRPr="00F6205B">
              <w:rPr>
                <w:rFonts w:ascii="Arial" w:hAnsi="Arial" w:cs="Arial"/>
                <w:noProof/>
                <w:sz w:val="20"/>
                <w:szCs w:val="20"/>
              </w:rPr>
              <w:t>2</w:t>
            </w:r>
            <w:r w:rsidRPr="00F6205B">
              <w:rPr>
                <w:rFonts w:ascii="Arial" w:hAnsi="Arial" w:cs="Arial"/>
                <w:sz w:val="20"/>
                <w:szCs w:val="20"/>
              </w:rPr>
              <w:fldChar w:fldCharType="end"/>
            </w:r>
            <w:r w:rsidRPr="00F6205B">
              <w:rPr>
                <w:rFonts w:ascii="Arial" w:hAnsi="Arial" w:cs="Arial"/>
                <w:sz w:val="20"/>
                <w:szCs w:val="20"/>
              </w:rPr>
              <w:t xml:space="preserve"> of </w:t>
            </w:r>
            <w:r w:rsidRPr="00F6205B">
              <w:rPr>
                <w:rFonts w:ascii="Arial" w:hAnsi="Arial" w:cs="Arial"/>
                <w:sz w:val="20"/>
                <w:szCs w:val="20"/>
              </w:rPr>
              <w:fldChar w:fldCharType="begin"/>
            </w:r>
            <w:r w:rsidRPr="00F6205B">
              <w:rPr>
                <w:rFonts w:ascii="Arial" w:hAnsi="Arial" w:cs="Arial"/>
                <w:sz w:val="20"/>
                <w:szCs w:val="20"/>
              </w:rPr>
              <w:instrText xml:space="preserve"> NUMPAGES  </w:instrText>
            </w:r>
            <w:r w:rsidRPr="00F6205B">
              <w:rPr>
                <w:rFonts w:ascii="Arial" w:hAnsi="Arial" w:cs="Arial"/>
                <w:sz w:val="20"/>
                <w:szCs w:val="20"/>
              </w:rPr>
              <w:fldChar w:fldCharType="separate"/>
            </w:r>
            <w:r w:rsidRPr="00F6205B">
              <w:rPr>
                <w:rFonts w:ascii="Arial" w:hAnsi="Arial" w:cs="Arial"/>
                <w:noProof/>
                <w:sz w:val="20"/>
                <w:szCs w:val="20"/>
              </w:rPr>
              <w:t>2</w:t>
            </w:r>
            <w:r w:rsidRPr="00F6205B">
              <w:rPr>
                <w:rFonts w:ascii="Arial" w:hAnsi="Arial" w:cs="Arial"/>
                <w:sz w:val="20"/>
                <w:szCs w:val="20"/>
              </w:rPr>
              <w:fldChar w:fldCharType="end"/>
            </w:r>
          </w:p>
        </w:sdtContent>
      </w:sdt>
    </w:sdtContent>
  </w:sdt>
  <w:p w14:paraId="5F040199" w14:textId="77777777" w:rsidR="00F6205B" w:rsidRDefault="00F620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CB9C6" w14:textId="77777777" w:rsidR="00D71DF3" w:rsidRDefault="00D71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D8E79" w14:textId="77777777" w:rsidR="00545E41" w:rsidRDefault="00545E41" w:rsidP="00826BD6">
      <w:pPr>
        <w:spacing w:after="0" w:line="240" w:lineRule="auto"/>
      </w:pPr>
      <w:r>
        <w:separator/>
      </w:r>
    </w:p>
  </w:footnote>
  <w:footnote w:type="continuationSeparator" w:id="0">
    <w:p w14:paraId="29992156" w14:textId="77777777" w:rsidR="00545E41" w:rsidRDefault="00545E41" w:rsidP="00826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2343" w14:textId="77777777" w:rsidR="00D71DF3" w:rsidRDefault="00D71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DFBB" w14:textId="1C341CC1" w:rsidR="00F6205B" w:rsidRDefault="00D71DF3" w:rsidP="00F6205B">
    <w:pPr>
      <w:jc w:val="both"/>
      <w:rPr>
        <w:rFonts w:ascii="Arial" w:hAnsi="Arial" w:cs="Arial"/>
        <w:b/>
        <w:bCs/>
        <w:sz w:val="22"/>
        <w:szCs w:val="22"/>
      </w:rPr>
    </w:pPr>
    <w:sdt>
      <w:sdtPr>
        <w:rPr>
          <w:rFonts w:ascii="Arial" w:hAnsi="Arial" w:cs="Arial"/>
          <w:b/>
          <w:bCs/>
          <w:sz w:val="22"/>
          <w:szCs w:val="22"/>
        </w:rPr>
        <w:id w:val="746543066"/>
        <w:docPartObj>
          <w:docPartGallery w:val="Watermarks"/>
          <w:docPartUnique/>
        </w:docPartObj>
      </w:sdtPr>
      <w:sdtContent>
        <w:r w:rsidRPr="00D71DF3">
          <w:rPr>
            <w:rFonts w:ascii="Arial" w:hAnsi="Arial" w:cs="Arial"/>
            <w:b/>
            <w:bCs/>
            <w:noProof/>
            <w:sz w:val="22"/>
            <w:szCs w:val="22"/>
          </w:rPr>
          <w:pict w14:anchorId="23C55B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6205B">
      <w:rPr>
        <w:noProof/>
      </w:rPr>
      <w:drawing>
        <wp:anchor distT="0" distB="0" distL="114300" distR="114300" simplePos="0" relativeHeight="251659264" behindDoc="0" locked="0" layoutInCell="1" allowOverlap="1" wp14:anchorId="0560D622" wp14:editId="1A7AE20F">
          <wp:simplePos x="0" y="0"/>
          <wp:positionH relativeFrom="margin">
            <wp:posOffset>4663440</wp:posOffset>
          </wp:positionH>
          <wp:positionV relativeFrom="paragraph">
            <wp:posOffset>8890</wp:posOffset>
          </wp:positionV>
          <wp:extent cx="1435100" cy="762000"/>
          <wp:effectExtent l="0" t="0" r="0" b="0"/>
          <wp:wrapSquare wrapText="bothSides"/>
          <wp:docPr id="1" name="image1.jpeg"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blue and black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5100" cy="762000"/>
                  </a:xfrm>
                  <a:prstGeom prst="rect">
                    <a:avLst/>
                  </a:prstGeom>
                </pic:spPr>
              </pic:pic>
            </a:graphicData>
          </a:graphic>
          <wp14:sizeRelH relativeFrom="page">
            <wp14:pctWidth>0</wp14:pctWidth>
          </wp14:sizeRelH>
          <wp14:sizeRelV relativeFrom="page">
            <wp14:pctHeight>0</wp14:pctHeight>
          </wp14:sizeRelV>
        </wp:anchor>
      </w:drawing>
    </w:r>
  </w:p>
  <w:p w14:paraId="64C6C637" w14:textId="77777777" w:rsidR="00F6205B" w:rsidRDefault="00F6205B" w:rsidP="00F6205B">
    <w:pPr>
      <w:jc w:val="both"/>
      <w:rPr>
        <w:rFonts w:ascii="Arial" w:hAnsi="Arial" w:cs="Arial"/>
        <w:b/>
        <w:bCs/>
        <w:sz w:val="22"/>
        <w:szCs w:val="22"/>
      </w:rPr>
    </w:pPr>
  </w:p>
  <w:p w14:paraId="70A510C1" w14:textId="41404A75" w:rsidR="00826BD6" w:rsidRPr="00F6205B" w:rsidRDefault="00D71DF3" w:rsidP="00F6205B">
    <w:pPr>
      <w:jc w:val="both"/>
      <w:rPr>
        <w:rFonts w:ascii="Arial" w:hAnsi="Arial" w:cs="Arial"/>
        <w:b/>
        <w:bCs/>
        <w:sz w:val="22"/>
        <w:szCs w:val="22"/>
      </w:rPr>
    </w:pPr>
    <w:r>
      <w:rPr>
        <w:rFonts w:ascii="Arial" w:hAnsi="Arial" w:cs="Arial"/>
        <w:b/>
        <w:bCs/>
        <w:sz w:val="22"/>
        <w:szCs w:val="22"/>
      </w:rPr>
      <w:t xml:space="preserve">DRAFT- </w:t>
    </w:r>
    <w:r w:rsidR="00F6205B" w:rsidRPr="00826BD6">
      <w:rPr>
        <w:rFonts w:ascii="Arial" w:hAnsi="Arial" w:cs="Arial"/>
        <w:b/>
        <w:bCs/>
        <w:sz w:val="22"/>
        <w:szCs w:val="22"/>
      </w:rPr>
      <w:t>Professional Standards Committee – Terms of Reference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A084" w14:textId="77777777" w:rsidR="00D71DF3" w:rsidRDefault="00D71D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BD6"/>
    <w:rsid w:val="000226FE"/>
    <w:rsid w:val="001D7DA4"/>
    <w:rsid w:val="00231AD0"/>
    <w:rsid w:val="00380565"/>
    <w:rsid w:val="00545E41"/>
    <w:rsid w:val="00825712"/>
    <w:rsid w:val="00826BD6"/>
    <w:rsid w:val="00873E7B"/>
    <w:rsid w:val="00B54B43"/>
    <w:rsid w:val="00C17CC9"/>
    <w:rsid w:val="00D71DF3"/>
    <w:rsid w:val="00DB3FBC"/>
    <w:rsid w:val="00F44778"/>
    <w:rsid w:val="00F472DB"/>
    <w:rsid w:val="00F6205B"/>
    <w:rsid w:val="00F72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54874"/>
  <w15:chartTrackingRefBased/>
  <w15:docId w15:val="{C251DF85-D763-465E-A091-89AFCEBA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B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6B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6B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6B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6B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6B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B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B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B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B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6B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6B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6B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6B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6B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B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B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BD6"/>
    <w:rPr>
      <w:rFonts w:eastAsiaTheme="majorEastAsia" w:cstheme="majorBidi"/>
      <w:color w:val="272727" w:themeColor="text1" w:themeTint="D8"/>
    </w:rPr>
  </w:style>
  <w:style w:type="paragraph" w:styleId="Title">
    <w:name w:val="Title"/>
    <w:basedOn w:val="Normal"/>
    <w:next w:val="Normal"/>
    <w:link w:val="TitleChar"/>
    <w:uiPriority w:val="10"/>
    <w:qFormat/>
    <w:rsid w:val="00826B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B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B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B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BD6"/>
    <w:pPr>
      <w:spacing w:before="160"/>
      <w:jc w:val="center"/>
    </w:pPr>
    <w:rPr>
      <w:i/>
      <w:iCs/>
      <w:color w:val="404040" w:themeColor="text1" w:themeTint="BF"/>
    </w:rPr>
  </w:style>
  <w:style w:type="character" w:customStyle="1" w:styleId="QuoteChar">
    <w:name w:val="Quote Char"/>
    <w:basedOn w:val="DefaultParagraphFont"/>
    <w:link w:val="Quote"/>
    <w:uiPriority w:val="29"/>
    <w:rsid w:val="00826BD6"/>
    <w:rPr>
      <w:i/>
      <w:iCs/>
      <w:color w:val="404040" w:themeColor="text1" w:themeTint="BF"/>
    </w:rPr>
  </w:style>
  <w:style w:type="paragraph" w:styleId="ListParagraph">
    <w:name w:val="List Paragraph"/>
    <w:basedOn w:val="Normal"/>
    <w:uiPriority w:val="34"/>
    <w:qFormat/>
    <w:rsid w:val="00826BD6"/>
    <w:pPr>
      <w:ind w:left="720"/>
      <w:contextualSpacing/>
    </w:pPr>
  </w:style>
  <w:style w:type="character" w:styleId="IntenseEmphasis">
    <w:name w:val="Intense Emphasis"/>
    <w:basedOn w:val="DefaultParagraphFont"/>
    <w:uiPriority w:val="21"/>
    <w:qFormat/>
    <w:rsid w:val="00826BD6"/>
    <w:rPr>
      <w:i/>
      <w:iCs/>
      <w:color w:val="0F4761" w:themeColor="accent1" w:themeShade="BF"/>
    </w:rPr>
  </w:style>
  <w:style w:type="paragraph" w:styleId="IntenseQuote">
    <w:name w:val="Intense Quote"/>
    <w:basedOn w:val="Normal"/>
    <w:next w:val="Normal"/>
    <w:link w:val="IntenseQuoteChar"/>
    <w:uiPriority w:val="30"/>
    <w:qFormat/>
    <w:rsid w:val="00826B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6BD6"/>
    <w:rPr>
      <w:i/>
      <w:iCs/>
      <w:color w:val="0F4761" w:themeColor="accent1" w:themeShade="BF"/>
    </w:rPr>
  </w:style>
  <w:style w:type="character" w:styleId="IntenseReference">
    <w:name w:val="Intense Reference"/>
    <w:basedOn w:val="DefaultParagraphFont"/>
    <w:uiPriority w:val="32"/>
    <w:qFormat/>
    <w:rsid w:val="00826BD6"/>
    <w:rPr>
      <w:b/>
      <w:bCs/>
      <w:smallCaps/>
      <w:color w:val="0F4761" w:themeColor="accent1" w:themeShade="BF"/>
      <w:spacing w:val="5"/>
    </w:rPr>
  </w:style>
  <w:style w:type="paragraph" w:styleId="Header">
    <w:name w:val="header"/>
    <w:basedOn w:val="Normal"/>
    <w:link w:val="HeaderChar"/>
    <w:uiPriority w:val="99"/>
    <w:unhideWhenUsed/>
    <w:rsid w:val="00826B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6BD6"/>
  </w:style>
  <w:style w:type="paragraph" w:styleId="Footer">
    <w:name w:val="footer"/>
    <w:basedOn w:val="Normal"/>
    <w:link w:val="FooterChar"/>
    <w:uiPriority w:val="99"/>
    <w:unhideWhenUsed/>
    <w:rsid w:val="00826B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6BD6"/>
  </w:style>
  <w:style w:type="character" w:styleId="BookTitle">
    <w:name w:val="Book Title"/>
    <w:basedOn w:val="DefaultParagraphFont"/>
    <w:uiPriority w:val="33"/>
    <w:qFormat/>
    <w:rsid w:val="00D71DF3"/>
    <w:rPr>
      <w:b/>
      <w:bCs/>
      <w:i/>
      <w:iCs/>
      <w:spacing w:val="5"/>
    </w:rPr>
  </w:style>
  <w:style w:type="paragraph" w:styleId="Caption">
    <w:name w:val="caption"/>
    <w:basedOn w:val="Normal"/>
    <w:next w:val="Normal"/>
    <w:uiPriority w:val="35"/>
    <w:semiHidden/>
    <w:unhideWhenUsed/>
    <w:qFormat/>
    <w:rsid w:val="00D71DF3"/>
    <w:pPr>
      <w:spacing w:after="200" w:line="240" w:lineRule="auto"/>
    </w:pPr>
    <w:rPr>
      <w:i/>
      <w:iCs/>
      <w:color w:val="0E2841" w:themeColor="text2"/>
      <w:sz w:val="18"/>
      <w:szCs w:val="18"/>
    </w:rPr>
  </w:style>
  <w:style w:type="character" w:styleId="Emphasis">
    <w:name w:val="Emphasis"/>
    <w:basedOn w:val="DefaultParagraphFont"/>
    <w:uiPriority w:val="20"/>
    <w:qFormat/>
    <w:rsid w:val="00D71DF3"/>
    <w:rPr>
      <w:i/>
      <w:iCs/>
    </w:rPr>
  </w:style>
  <w:style w:type="paragraph" w:styleId="NoSpacing">
    <w:name w:val="No Spacing"/>
    <w:uiPriority w:val="1"/>
    <w:qFormat/>
    <w:rsid w:val="00D71DF3"/>
    <w:pPr>
      <w:spacing w:after="0" w:line="240" w:lineRule="auto"/>
    </w:pPr>
  </w:style>
  <w:style w:type="character" w:styleId="Strong">
    <w:name w:val="Strong"/>
    <w:basedOn w:val="DefaultParagraphFont"/>
    <w:uiPriority w:val="22"/>
    <w:qFormat/>
    <w:rsid w:val="00D71DF3"/>
    <w:rPr>
      <w:b/>
      <w:bCs/>
    </w:rPr>
  </w:style>
  <w:style w:type="character" w:styleId="SubtleEmphasis">
    <w:name w:val="Subtle Emphasis"/>
    <w:basedOn w:val="DefaultParagraphFont"/>
    <w:uiPriority w:val="19"/>
    <w:qFormat/>
    <w:rsid w:val="00D71DF3"/>
    <w:rPr>
      <w:i/>
      <w:iCs/>
      <w:color w:val="404040" w:themeColor="text1" w:themeTint="BF"/>
    </w:rPr>
  </w:style>
  <w:style w:type="character" w:styleId="SubtleReference">
    <w:name w:val="Subtle Reference"/>
    <w:basedOn w:val="DefaultParagraphFont"/>
    <w:uiPriority w:val="31"/>
    <w:qFormat/>
    <w:rsid w:val="00D71DF3"/>
    <w:rPr>
      <w:smallCaps/>
      <w:color w:val="5A5A5A" w:themeColor="text1" w:themeTint="A5"/>
    </w:rPr>
  </w:style>
  <w:style w:type="paragraph" w:styleId="TOCHeading">
    <w:name w:val="TOC Heading"/>
    <w:basedOn w:val="Heading1"/>
    <w:next w:val="Normal"/>
    <w:uiPriority w:val="39"/>
    <w:semiHidden/>
    <w:unhideWhenUsed/>
    <w:qFormat/>
    <w:rsid w:val="00D71DF3"/>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7195-7C64-4BC1-99C5-1E11B201E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1312</Words>
  <Characters>8267</Characters>
  <Application>Microsoft Office Word</Application>
  <DocSecurity>4</DocSecurity>
  <Lines>150</Lines>
  <Paragraphs>84</Paragraphs>
  <ScaleCrop>false</ScaleCrop>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Wathen</dc:creator>
  <cp:keywords/>
  <dc:description/>
  <cp:lastModifiedBy>Catherine Hepton</cp:lastModifiedBy>
  <cp:revision>2</cp:revision>
  <dcterms:created xsi:type="dcterms:W3CDTF">2026-09-04T15:25:00Z</dcterms:created>
  <dcterms:modified xsi:type="dcterms:W3CDTF">2026-09-04T15:25:00Z</dcterms:modified>
</cp:coreProperties>
</file>